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998" w:rsidRDefault="004B3998">
      <w:pPr>
        <w:ind w:right="-1"/>
        <w:jc w:val="center"/>
        <w:rPr>
          <w:b/>
          <w:szCs w:val="28"/>
        </w:rPr>
      </w:pPr>
      <w:bookmarkStart w:id="0" w:name="sub_1000"/>
    </w:p>
    <w:p w:rsidR="004B3998" w:rsidRDefault="004B3998">
      <w:pPr>
        <w:ind w:right="-1"/>
        <w:jc w:val="center"/>
        <w:rPr>
          <w:b/>
          <w:szCs w:val="28"/>
        </w:rPr>
      </w:pPr>
    </w:p>
    <w:p w:rsidR="004B3998" w:rsidRDefault="00081A49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Опросный лист </w:t>
      </w:r>
    </w:p>
    <w:p w:rsidR="004B3998" w:rsidRDefault="00081A49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при проведении публичных консультаций в рамках оценки фактического </w:t>
      </w:r>
    </w:p>
    <w:p w:rsidR="004B3998" w:rsidRDefault="00081A49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воздействия действующего муниципального нормативного правового акта</w:t>
      </w:r>
    </w:p>
    <w:p w:rsidR="004B3998" w:rsidRDefault="004B3998">
      <w:pPr>
        <w:rPr>
          <w:rFonts w:cs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4B3998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98" w:rsidRDefault="00081A49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Перечень вопросов в рамках проведения публичных консультаций</w:t>
            </w:r>
          </w:p>
          <w:p w:rsidR="004B3998" w:rsidRDefault="00081A4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i/>
                <w:szCs w:val="28"/>
                <w:u w:val="single"/>
              </w:rPr>
              <w:t>постановления Администрации города от 03</w:t>
            </w:r>
            <w:r>
              <w:rPr>
                <w:rFonts w:cs="Times New Roman"/>
                <w:i/>
                <w:szCs w:val="28"/>
                <w:u w:val="single"/>
              </w:rPr>
              <w:t xml:space="preserve">.10.2023 № 4687 </w:t>
            </w:r>
            <w:r>
              <w:rPr>
                <w:rFonts w:cs="Times New Roman"/>
                <w:i/>
                <w:szCs w:val="28"/>
                <w:u w:val="single"/>
              </w:rPr>
              <w:br/>
              <w:t xml:space="preserve">«Об утверждении требований к рекламным конструкциям, </w:t>
            </w:r>
            <w:r>
              <w:rPr>
                <w:rFonts w:cs="Times New Roman"/>
                <w:i/>
                <w:szCs w:val="28"/>
                <w:u w:val="single"/>
              </w:rPr>
              <w:br/>
              <w:t>размещаемым    на     территории    города     Сургута»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4B3998" w:rsidRDefault="00081A4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(наименование действующего муниципального нормативного правового акта, </w:t>
            </w:r>
          </w:p>
          <w:p w:rsidR="004B3998" w:rsidRDefault="00081A4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содержащего обязательные требования) </w:t>
            </w:r>
          </w:p>
          <w:p w:rsidR="004B3998" w:rsidRDefault="004B3998">
            <w:pPr>
              <w:jc w:val="center"/>
              <w:rPr>
                <w:rFonts w:cs="Times New Roman"/>
                <w:szCs w:val="28"/>
              </w:rPr>
            </w:pPr>
          </w:p>
          <w:p w:rsidR="004B3998" w:rsidRDefault="00081A49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Пожалуйста, запол</w:t>
            </w:r>
            <w:r>
              <w:rPr>
                <w:rFonts w:cs="Times New Roman"/>
                <w:szCs w:val="28"/>
              </w:rPr>
              <w:t xml:space="preserve">ните и направьте данную форму по электронной почте </w:t>
            </w:r>
          </w:p>
          <w:p w:rsidR="004B3998" w:rsidRDefault="00081A49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 адрес: </w:t>
            </w:r>
            <w:proofErr w:type="spellStart"/>
            <w:r>
              <w:rPr>
                <w:rFonts w:cs="Times New Roman"/>
                <w:i/>
                <w:szCs w:val="28"/>
                <w:u w:val="single"/>
                <w:lang w:val="en-US"/>
              </w:rPr>
              <w:t>belenets</w:t>
            </w:r>
            <w:proofErr w:type="spellEnd"/>
            <w:r>
              <w:rPr>
                <w:rFonts w:cs="Times New Roman"/>
                <w:i/>
                <w:szCs w:val="28"/>
                <w:u w:val="single"/>
              </w:rPr>
              <w:t>_</w:t>
            </w:r>
            <w:proofErr w:type="spellStart"/>
            <w:r>
              <w:rPr>
                <w:rFonts w:cs="Times New Roman"/>
                <w:i/>
                <w:szCs w:val="28"/>
                <w:u w:val="single"/>
                <w:lang w:val="en-US"/>
              </w:rPr>
              <w:t>ov</w:t>
            </w:r>
            <w:proofErr w:type="spellEnd"/>
            <w:r>
              <w:rPr>
                <w:rFonts w:cs="Times New Roman"/>
                <w:i/>
                <w:szCs w:val="28"/>
                <w:u w:val="single"/>
              </w:rPr>
              <w:t>@</w:t>
            </w:r>
            <w:proofErr w:type="spellStart"/>
            <w:r>
              <w:rPr>
                <w:rFonts w:cs="Times New Roman"/>
                <w:i/>
                <w:szCs w:val="28"/>
                <w:u w:val="single"/>
                <w:lang w:val="en-US"/>
              </w:rPr>
              <w:t>admsurgut</w:t>
            </w:r>
            <w:proofErr w:type="spellEnd"/>
            <w:r>
              <w:rPr>
                <w:rFonts w:cs="Times New Roman"/>
                <w:i/>
                <w:szCs w:val="28"/>
                <w:u w:val="single"/>
              </w:rPr>
              <w:t>.</w:t>
            </w:r>
            <w:proofErr w:type="spellStart"/>
            <w:r>
              <w:rPr>
                <w:rFonts w:cs="Times New Roman"/>
                <w:i/>
                <w:szCs w:val="28"/>
                <w:u w:val="single"/>
                <w:lang w:val="en-US"/>
              </w:rPr>
              <w:t>ru</w:t>
            </w:r>
            <w:proofErr w:type="spellEnd"/>
            <w:r>
              <w:rPr>
                <w:rFonts w:cs="Times New Roman"/>
                <w:i/>
                <w:szCs w:val="28"/>
                <w:u w:val="single"/>
              </w:rPr>
              <w:t>.</w:t>
            </w:r>
          </w:p>
          <w:p w:rsidR="004B3998" w:rsidRDefault="00081A4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(адрес электронной почты ответственного за проведение ОПОТ)</w:t>
            </w:r>
          </w:p>
          <w:p w:rsidR="004B3998" w:rsidRDefault="00081A49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не позднее </w:t>
            </w:r>
            <w:r>
              <w:rPr>
                <w:rFonts w:cs="Times New Roman"/>
                <w:b/>
                <w:i/>
                <w:szCs w:val="28"/>
                <w:u w:val="single"/>
              </w:rPr>
              <w:t>«23» марта 2026г.</w:t>
            </w:r>
          </w:p>
          <w:p w:rsidR="004B3998" w:rsidRDefault="00081A49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(дата)</w:t>
            </w:r>
          </w:p>
          <w:p w:rsidR="004B3998" w:rsidRDefault="00081A49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Администрация города не будет иметь возможности проанализировать        </w:t>
            </w:r>
            <w:r>
              <w:rPr>
                <w:rFonts w:cs="Times New Roman"/>
                <w:szCs w:val="28"/>
              </w:rPr>
              <w:t xml:space="preserve">                    позиции, направленные после указанного срока.</w:t>
            </w:r>
          </w:p>
        </w:tc>
      </w:tr>
    </w:tbl>
    <w:p w:rsidR="004B3998" w:rsidRDefault="004B3998">
      <w:pPr>
        <w:rPr>
          <w:rFonts w:cs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4B3998">
        <w:trPr>
          <w:trHeight w:val="2356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98" w:rsidRDefault="00081A49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Контактная информация</w:t>
            </w:r>
          </w:p>
          <w:p w:rsidR="004B3998" w:rsidRDefault="00081A4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 Вашему желанию укажите:</w:t>
            </w:r>
          </w:p>
          <w:p w:rsidR="004B3998" w:rsidRDefault="00081A49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Наименование организации: _ООО </w:t>
            </w:r>
            <w:proofErr w:type="spellStart"/>
            <w:r>
              <w:rPr>
                <w:rFonts w:cs="Times New Roman"/>
                <w:szCs w:val="28"/>
              </w:rPr>
              <w:t>Навистар</w:t>
            </w:r>
            <w:proofErr w:type="spellEnd"/>
            <w:r>
              <w:rPr>
                <w:rFonts w:cs="Times New Roman"/>
                <w:szCs w:val="28"/>
              </w:rPr>
              <w:t>___________________________</w:t>
            </w:r>
          </w:p>
          <w:p w:rsidR="004B3998" w:rsidRDefault="00081A49">
            <w:pPr>
              <w:ind w:right="34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Сферу деятельности организации: </w:t>
            </w:r>
            <w:proofErr w:type="spellStart"/>
            <w:r>
              <w:rPr>
                <w:rFonts w:cs="Times New Roman"/>
                <w:szCs w:val="28"/>
              </w:rPr>
              <w:t>рекламораспространитель</w:t>
            </w:r>
            <w:proofErr w:type="spellEnd"/>
            <w:r>
              <w:rPr>
                <w:rFonts w:cs="Times New Roman"/>
                <w:szCs w:val="28"/>
              </w:rPr>
              <w:t>______________</w:t>
            </w:r>
          </w:p>
          <w:p w:rsidR="004B3998" w:rsidRDefault="00081A49">
            <w:pPr>
              <w:ind w:right="34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Ф.И.О. (последнее – при наличии) контактного лица: Николаев В.С.______</w:t>
            </w:r>
          </w:p>
          <w:p w:rsidR="004B3998" w:rsidRDefault="00081A49">
            <w:pPr>
              <w:ind w:right="-135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 контактного телефона: _</w:t>
            </w:r>
            <w:r>
              <w:rPr>
                <w:rFonts w:cs="Times New Roman"/>
                <w:szCs w:val="28"/>
              </w:rPr>
              <w:t>_______________________</w:t>
            </w:r>
          </w:p>
          <w:p w:rsidR="004B3998" w:rsidRDefault="00081A49">
            <w:pPr>
              <w:ind w:right="-135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Адрес электронной почты: __laboratoriya.prava@mail.ru__________________</w:t>
            </w:r>
          </w:p>
        </w:tc>
      </w:tr>
    </w:tbl>
    <w:p w:rsidR="004B3998" w:rsidRDefault="004B3998">
      <w:pPr>
        <w:rPr>
          <w:rFonts w:cs="Times New Roman"/>
          <w:szCs w:val="28"/>
        </w:rPr>
      </w:pPr>
    </w:p>
    <w:p w:rsidR="004B3998" w:rsidRDefault="00081A49">
      <w:pPr>
        <w:widowControl w:val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Общая характеристика общественных отношений, </w:t>
      </w:r>
    </w:p>
    <w:p w:rsidR="004B3998" w:rsidRDefault="00081A49">
      <w:pPr>
        <w:widowControl w:val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 регулирование которых направлены обязательные требования</w:t>
      </w:r>
    </w:p>
    <w:p w:rsidR="004B3998" w:rsidRDefault="004B3998">
      <w:pPr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4"/>
        <w:gridCol w:w="5103"/>
        <w:gridCol w:w="3821"/>
      </w:tblGrid>
      <w:tr w:rsidR="004B3998">
        <w:tc>
          <w:tcPr>
            <w:tcW w:w="70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103" w:type="dxa"/>
          </w:tcPr>
          <w:p w:rsidR="004B3998" w:rsidRDefault="00081A49">
            <w:pPr>
              <w:ind w:left="32"/>
            </w:pPr>
            <w:r>
              <w:t xml:space="preserve">Виды предпринимательской или иной экономической деятельности, </w:t>
            </w:r>
          </w:p>
          <w:p w:rsidR="004B3998" w:rsidRDefault="00081A49">
            <w:pPr>
              <w:ind w:left="32"/>
            </w:pPr>
            <w:r>
              <w:t xml:space="preserve">в отношении которых установлены </w:t>
            </w:r>
          </w:p>
          <w:p w:rsidR="004B3998" w:rsidRDefault="00081A49">
            <w:pPr>
              <w:ind w:left="32" w:right="-110"/>
              <w:rPr>
                <w:szCs w:val="28"/>
              </w:rPr>
            </w:pPr>
            <w:r>
              <w:rPr>
                <w:spacing w:val="-4"/>
              </w:rPr>
              <w:t>об</w:t>
            </w:r>
            <w:r>
              <w:t xml:space="preserve">язательные требования (наименование </w:t>
            </w:r>
            <w:r>
              <w:rPr>
                <w:spacing w:val="-6"/>
              </w:rPr>
              <w:t>и виды в соответствии с Общероссийским</w:t>
            </w:r>
            <w:r>
              <w:t xml:space="preserve"> классификатором видов экономической деятельности (ОКВЭД)</w:t>
            </w:r>
          </w:p>
        </w:tc>
        <w:tc>
          <w:tcPr>
            <w:tcW w:w="3821" w:type="dxa"/>
          </w:tcPr>
          <w:p w:rsidR="004B3998" w:rsidRDefault="004B3998">
            <w:pPr>
              <w:jc w:val="center"/>
              <w:rPr>
                <w:szCs w:val="28"/>
              </w:rPr>
            </w:pPr>
          </w:p>
        </w:tc>
      </w:tr>
      <w:tr w:rsidR="004B3998">
        <w:tc>
          <w:tcPr>
            <w:tcW w:w="70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103" w:type="dxa"/>
          </w:tcPr>
          <w:p w:rsidR="004B3998" w:rsidRDefault="00081A49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Описание основных проблем, связанных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с обязательными требованиями</w:t>
            </w:r>
          </w:p>
          <w:p w:rsidR="004B3998" w:rsidRDefault="004B3998">
            <w:pPr>
              <w:rPr>
                <w:szCs w:val="28"/>
              </w:rPr>
            </w:pPr>
          </w:p>
          <w:p w:rsidR="004B3998" w:rsidRDefault="004B3998">
            <w:pPr>
              <w:rPr>
                <w:szCs w:val="28"/>
              </w:rPr>
            </w:pPr>
          </w:p>
          <w:p w:rsidR="004B3998" w:rsidRDefault="004B3998">
            <w:pPr>
              <w:rPr>
                <w:szCs w:val="28"/>
              </w:rPr>
            </w:pPr>
          </w:p>
        </w:tc>
        <w:tc>
          <w:tcPr>
            <w:tcW w:w="3821" w:type="dxa"/>
          </w:tcPr>
          <w:p w:rsidR="004B3998" w:rsidRDefault="00081A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color w:val="000000"/>
                <w:sz w:val="18"/>
              </w:rPr>
              <w:t>Прошу уточнить требования к размещению конструкций, а именно параллельность размещения или радиус размещения в отношении рекламных конструкций большого, среднего и малого форматов</w:t>
            </w:r>
          </w:p>
          <w:p w:rsidR="004B3998" w:rsidRDefault="004B3998">
            <w:pPr>
              <w:jc w:val="center"/>
              <w:rPr>
                <w:szCs w:val="28"/>
              </w:rPr>
            </w:pPr>
          </w:p>
        </w:tc>
      </w:tr>
    </w:tbl>
    <w:p w:rsidR="004B3998" w:rsidRDefault="004B3998">
      <w:pPr>
        <w:jc w:val="center"/>
        <w:rPr>
          <w:rFonts w:eastAsia="Times New Roman" w:cs="Times New Roman"/>
          <w:szCs w:val="28"/>
          <w:lang w:eastAsia="ru-RU"/>
        </w:rPr>
      </w:pPr>
    </w:p>
    <w:p w:rsidR="004B3998" w:rsidRDefault="00081A49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Обоснованность установленных обязательных требований </w:t>
      </w:r>
      <w:r>
        <w:rPr>
          <w:rFonts w:eastAsia="Times New Roman" w:cs="Times New Roman"/>
          <w:szCs w:val="28"/>
          <w:lang w:eastAsia="ru-RU"/>
        </w:rPr>
        <w:br/>
        <w:t>в рассматриваемой с</w:t>
      </w:r>
      <w:r>
        <w:rPr>
          <w:rFonts w:eastAsia="Times New Roman" w:cs="Times New Roman"/>
          <w:szCs w:val="28"/>
          <w:lang w:eastAsia="ru-RU"/>
        </w:rPr>
        <w:t>фере общественных отношений</w:t>
      </w:r>
    </w:p>
    <w:p w:rsidR="004B3998" w:rsidRDefault="004B3998">
      <w:pPr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14"/>
        <w:tblW w:w="9526" w:type="dxa"/>
        <w:tblInd w:w="108" w:type="dxa"/>
        <w:tblLook w:val="04A0" w:firstRow="1" w:lastRow="0" w:firstColumn="1" w:lastColumn="0" w:noHBand="0" w:noVBand="1"/>
      </w:tblPr>
      <w:tblGrid>
        <w:gridCol w:w="594"/>
        <w:gridCol w:w="4877"/>
        <w:gridCol w:w="4055"/>
      </w:tblGrid>
      <w:tr w:rsidR="004B3998">
        <w:trPr>
          <w:trHeight w:val="387"/>
        </w:trPr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4932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Критерии</w:t>
            </w:r>
          </w:p>
        </w:tc>
        <w:tc>
          <w:tcPr>
            <w:tcW w:w="4110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 / Нет (пояснение)</w:t>
            </w: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pacing w:val="-6"/>
                <w:szCs w:val="28"/>
              </w:rPr>
              <w:t>Оцениваемое регулирование учитывает</w:t>
            </w:r>
            <w:r>
              <w:rPr>
                <w:szCs w:val="28"/>
              </w:rPr>
              <w:t xml:space="preserve"> современный уровень развития науки, техники и технологий, уровень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развития экономики и материально-технической базы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t>Оцениваемые обязательные требования</w:t>
            </w:r>
            <w:r>
              <w:rPr>
                <w:szCs w:val="28"/>
              </w:rPr>
              <w:t xml:space="preserve"> актуальны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t>Имеются ли препятствия для внедрения</w:t>
            </w:r>
            <w:r>
              <w:rPr>
                <w:szCs w:val="28"/>
              </w:rPr>
              <w:t xml:space="preserve"> новых технологий в хозяйственную деятельность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Наличие направленных обращений, связанных с неактуальностью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обязательных требований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Наличие административных споров, связанных с неактуальностью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обязательных требований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Иные дополнения (при наличии)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</w:tbl>
    <w:p w:rsidR="004B3998" w:rsidRDefault="004B3998">
      <w:pPr>
        <w:jc w:val="both"/>
        <w:rPr>
          <w:rFonts w:eastAsia="Times New Roman" w:cs="Times New Roman"/>
          <w:szCs w:val="28"/>
          <w:lang w:eastAsia="ru-RU"/>
        </w:rPr>
      </w:pPr>
    </w:p>
    <w:p w:rsidR="004B3998" w:rsidRDefault="00081A49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Правовая определенность и системность обязательных требований </w:t>
      </w:r>
      <w:r>
        <w:rPr>
          <w:rFonts w:eastAsia="Times New Roman" w:cs="Times New Roman"/>
          <w:szCs w:val="28"/>
          <w:lang w:eastAsia="ru-RU"/>
        </w:rPr>
        <w:br/>
        <w:t>в рассматриваемой сфере общественных отношений</w:t>
      </w:r>
    </w:p>
    <w:p w:rsidR="004B3998" w:rsidRDefault="004B3998">
      <w:pPr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14"/>
        <w:tblW w:w="9526" w:type="dxa"/>
        <w:tblInd w:w="108" w:type="dxa"/>
        <w:tblLook w:val="04A0" w:firstRow="1" w:lastRow="0" w:firstColumn="1" w:lastColumn="0" w:noHBand="0" w:noVBand="1"/>
      </w:tblPr>
      <w:tblGrid>
        <w:gridCol w:w="594"/>
        <w:gridCol w:w="4885"/>
        <w:gridCol w:w="4047"/>
      </w:tblGrid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4932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Критерий</w:t>
            </w:r>
          </w:p>
        </w:tc>
        <w:tc>
          <w:tcPr>
            <w:tcW w:w="4110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 / Нет (пояснение)</w:t>
            </w: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Обязательные требования имеют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ясное, логичное и однозначно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понимаемое содержание</w:t>
            </w:r>
          </w:p>
        </w:tc>
        <w:tc>
          <w:tcPr>
            <w:tcW w:w="4110" w:type="dxa"/>
            <w:vAlign w:val="center"/>
          </w:tcPr>
          <w:p w:rsidR="004B3998" w:rsidRDefault="004B3998">
            <w:pPr>
              <w:jc w:val="center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Случаи различного толкования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t>оцениваемых обязательных требований</w:t>
            </w:r>
            <w:r>
              <w:rPr>
                <w:szCs w:val="28"/>
              </w:rPr>
              <w:t xml:space="preserve"> правоприменительными органами                      и (или) лицами, обязанными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соблюдать обязательные требования, отсутствуют либо единичны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и не связаны с содержанием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(формулировкой) обязательных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требований</w:t>
            </w:r>
          </w:p>
        </w:tc>
        <w:tc>
          <w:tcPr>
            <w:tcW w:w="4110" w:type="dxa"/>
            <w:vAlign w:val="center"/>
          </w:tcPr>
          <w:p w:rsidR="004B3998" w:rsidRDefault="004B3998">
            <w:pPr>
              <w:jc w:val="center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t>Оцениваемые обязательные требования</w:t>
            </w:r>
            <w:r>
              <w:rPr>
                <w:szCs w:val="28"/>
              </w:rPr>
              <w:t xml:space="preserve"> соответствуют целям и принципам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законодательного регулирования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lastRenderedPageBreak/>
              <w:t>рассматриваемой сферы</w:t>
            </w:r>
            <w:r>
              <w:rPr>
                <w:spacing w:val="-4"/>
                <w:szCs w:val="28"/>
              </w:rPr>
              <w:t xml:space="preserve"> общественных</w:t>
            </w:r>
            <w:r>
              <w:rPr>
                <w:szCs w:val="28"/>
              </w:rPr>
              <w:t xml:space="preserve"> отношений и правовой системы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в целом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Отсутствуют дублирующие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обязательные требования,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в том числе на различных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уровнях регулирования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Отсутствуют противоречащие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обязательные требования,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в том числе на различных уровнях правового регулирования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Иные дополнения (при наличии)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</w:tbl>
    <w:p w:rsidR="004B3998" w:rsidRDefault="004B3998">
      <w:pPr>
        <w:jc w:val="center"/>
        <w:rPr>
          <w:rFonts w:eastAsia="Times New Roman" w:cs="Times New Roman"/>
          <w:szCs w:val="28"/>
          <w:lang w:eastAsia="ru-RU"/>
        </w:rPr>
      </w:pPr>
    </w:p>
    <w:p w:rsidR="004B3998" w:rsidRDefault="00081A49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Фактическая возможность исполнения обязательных требований</w:t>
      </w:r>
    </w:p>
    <w:p w:rsidR="004B3998" w:rsidRDefault="004B3998">
      <w:pPr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14"/>
        <w:tblW w:w="9526" w:type="dxa"/>
        <w:tblInd w:w="108" w:type="dxa"/>
        <w:tblLook w:val="04A0" w:firstRow="1" w:lastRow="0" w:firstColumn="1" w:lastColumn="0" w:noHBand="0" w:noVBand="1"/>
      </w:tblPr>
      <w:tblGrid>
        <w:gridCol w:w="594"/>
        <w:gridCol w:w="4882"/>
        <w:gridCol w:w="4050"/>
      </w:tblGrid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4932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Критерий</w:t>
            </w:r>
          </w:p>
        </w:tc>
        <w:tc>
          <w:tcPr>
            <w:tcW w:w="4110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 / Нет (пояснение)</w:t>
            </w: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t>Оцениваемые обязательные требования</w:t>
            </w:r>
            <w:r>
              <w:rPr>
                <w:szCs w:val="28"/>
              </w:rPr>
              <w:t xml:space="preserve"> являются фактически исполнимыми (количество неисполненных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предписаний) </w:t>
            </w:r>
            <w:bookmarkStart w:id="1" w:name="_GoBack"/>
            <w:bookmarkEnd w:id="1"/>
          </w:p>
        </w:tc>
        <w:tc>
          <w:tcPr>
            <w:tcW w:w="4110" w:type="dxa"/>
          </w:tcPr>
          <w:p w:rsidR="004B3998" w:rsidRDefault="004B3998">
            <w:pPr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Затраты на соблюдение оцениваемых обязательных требований соразмерны (пропорциональны) рискам,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на снижение либо устранение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которых направлено соответствующее регулирование (при</w:t>
            </w:r>
            <w:r>
              <w:rPr>
                <w:szCs w:val="28"/>
              </w:rPr>
              <w:t xml:space="preserve">чинение вреда (ущерба), характер и масштаб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неблагоприятных последствий,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среднегодовые прямые издержки)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Прямые издержки, связанные                              с соблюдением обязательных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требований, не являются причиной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отказа от ведения соответствующей предпринимательской или иной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экономической деятельности </w:t>
            </w:r>
          </w:p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 xml:space="preserve">(реализация и (или) инициация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pacing w:val="-6"/>
                <w:szCs w:val="28"/>
              </w:rPr>
              <w:t>процедуры банкротства или ликвидации,</w:t>
            </w:r>
            <w:r>
              <w:rPr>
                <w:szCs w:val="28"/>
              </w:rPr>
              <w:t xml:space="preserve"> уровень конкуренции, динамика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zCs w:val="28"/>
              </w:rPr>
              <w:t>объема инвестиций, экономическая привлекательность, доступность,</w:t>
            </w:r>
            <w:r>
              <w:rPr>
                <w:szCs w:val="28"/>
              </w:rPr>
              <w:t xml:space="preserve">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zCs w:val="28"/>
              </w:rPr>
              <w:t>состояние конкурентной среды)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932" w:type="dxa"/>
          </w:tcPr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pacing w:val="-4"/>
                <w:szCs w:val="28"/>
              </w:rPr>
              <w:t>Исполнение оцениваемых обязательных</w:t>
            </w:r>
            <w:r>
              <w:rPr>
                <w:szCs w:val="28"/>
              </w:rPr>
              <w:t xml:space="preserve"> требований не приводит к </w:t>
            </w:r>
            <w:proofErr w:type="spellStart"/>
            <w:r>
              <w:rPr>
                <w:spacing w:val="-4"/>
                <w:szCs w:val="28"/>
              </w:rPr>
              <w:t>невозмож-</w:t>
            </w:r>
            <w:r>
              <w:rPr>
                <w:spacing w:val="-4"/>
                <w:szCs w:val="28"/>
              </w:rPr>
              <w:lastRenderedPageBreak/>
              <w:t>ности</w:t>
            </w:r>
            <w:proofErr w:type="spellEnd"/>
            <w:r>
              <w:rPr>
                <w:spacing w:val="-4"/>
                <w:szCs w:val="28"/>
              </w:rPr>
              <w:t xml:space="preserve"> исполнения других обязательных</w:t>
            </w:r>
            <w:r>
              <w:rPr>
                <w:szCs w:val="28"/>
              </w:rPr>
              <w:t xml:space="preserve"> требований (наличие предписаний,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pacing w:val="-4"/>
                <w:szCs w:val="28"/>
              </w:rPr>
              <w:t>выданных по результатам контрольных</w:t>
            </w:r>
            <w:r>
              <w:rPr>
                <w:szCs w:val="28"/>
              </w:rPr>
              <w:t xml:space="preserve"> мероприятий, результатов реализации иных фо</w:t>
            </w:r>
            <w:r>
              <w:rPr>
                <w:szCs w:val="28"/>
              </w:rPr>
              <w:t xml:space="preserve">рм оценки соблюдения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zCs w:val="28"/>
              </w:rPr>
              <w:t xml:space="preserve">обязательных требований,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zCs w:val="28"/>
              </w:rPr>
              <w:t xml:space="preserve">свидетельствующих о невозможности соблюдения иных обязательных </w:t>
            </w:r>
          </w:p>
          <w:p w:rsidR="004B3998" w:rsidRDefault="00081A49">
            <w:pPr>
              <w:ind w:right="-59"/>
              <w:rPr>
                <w:szCs w:val="28"/>
              </w:rPr>
            </w:pPr>
            <w:r>
              <w:rPr>
                <w:szCs w:val="28"/>
              </w:rPr>
              <w:t>требований)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Удобство соблюдения оцениваемых обязательных требований (затраты времени, материальных, финансовых       и (или) иных ресурсов)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  <w:tr w:rsidR="004B3998">
        <w:tc>
          <w:tcPr>
            <w:tcW w:w="484" w:type="dxa"/>
          </w:tcPr>
          <w:p w:rsidR="004B3998" w:rsidRDefault="00081A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932" w:type="dxa"/>
          </w:tcPr>
          <w:p w:rsidR="004B3998" w:rsidRDefault="00081A49">
            <w:pPr>
              <w:rPr>
                <w:szCs w:val="28"/>
              </w:rPr>
            </w:pPr>
            <w:r>
              <w:rPr>
                <w:szCs w:val="28"/>
              </w:rPr>
              <w:t>Иные дополнения (при наличии)</w:t>
            </w:r>
          </w:p>
        </w:tc>
        <w:tc>
          <w:tcPr>
            <w:tcW w:w="4110" w:type="dxa"/>
          </w:tcPr>
          <w:p w:rsidR="004B3998" w:rsidRDefault="004B3998">
            <w:pPr>
              <w:jc w:val="both"/>
              <w:rPr>
                <w:szCs w:val="28"/>
              </w:rPr>
            </w:pPr>
          </w:p>
        </w:tc>
      </w:tr>
    </w:tbl>
    <w:p w:rsidR="004B3998" w:rsidRDefault="004B3998">
      <w:pPr>
        <w:ind w:firstLine="709"/>
        <w:jc w:val="both"/>
        <w:rPr>
          <w:lang w:eastAsia="ru-RU"/>
        </w:rPr>
      </w:pPr>
    </w:p>
    <w:p w:rsidR="004B3998" w:rsidRDefault="00081A49">
      <w:pPr>
        <w:ind w:firstLine="709"/>
        <w:jc w:val="both"/>
        <w:rPr>
          <w:lang w:eastAsia="ru-RU"/>
        </w:rPr>
      </w:pPr>
      <w:r>
        <w:rPr>
          <w:lang w:eastAsia="ru-RU"/>
        </w:rPr>
        <w:t>Выводы и предложения по внесению изменений в действующее правовое регулирование или его отдельных положений и (или) принятию иных мер:</w:t>
      </w:r>
    </w:p>
    <w:p w:rsidR="004B3998" w:rsidRDefault="00081A49">
      <w:pPr>
        <w:widowControl w:val="0"/>
        <w:outlineLvl w:val="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4B3998" w:rsidRDefault="00081A49">
      <w:pPr>
        <w:widowControl w:val="0"/>
        <w:outlineLvl w:val="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4B3998" w:rsidRDefault="00081A49">
      <w:pPr>
        <w:widowControl w:val="0"/>
        <w:outlineLvl w:val="2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bookmarkEnd w:id="0"/>
    <w:p w:rsidR="004B3998" w:rsidRDefault="004B3998">
      <w:pPr>
        <w:ind w:left="5954"/>
        <w:rPr>
          <w:rFonts w:cs="Times New Roman"/>
          <w:szCs w:val="28"/>
        </w:rPr>
      </w:pPr>
    </w:p>
    <w:p w:rsidR="004B3998" w:rsidRDefault="004B3998">
      <w:pPr>
        <w:ind w:left="5954"/>
        <w:rPr>
          <w:rFonts w:cs="Times New Roman"/>
          <w:szCs w:val="28"/>
        </w:rPr>
      </w:pPr>
    </w:p>
    <w:sectPr w:rsidR="004B3998">
      <w:headerReference w:type="default" r:id="rId7"/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998" w:rsidRDefault="00081A49">
      <w:r>
        <w:separator/>
      </w:r>
    </w:p>
  </w:endnote>
  <w:endnote w:type="continuationSeparator" w:id="0">
    <w:p w:rsidR="004B3998" w:rsidRDefault="0008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998" w:rsidRDefault="00081A49">
      <w:r>
        <w:separator/>
      </w:r>
    </w:p>
  </w:footnote>
  <w:footnote w:type="continuationSeparator" w:id="0">
    <w:p w:rsidR="004B3998" w:rsidRDefault="0008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998" w:rsidRDefault="004B3998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BF0"/>
    <w:multiLevelType w:val="hybridMultilevel"/>
    <w:tmpl w:val="FA76147C"/>
    <w:lvl w:ilvl="0" w:tplc="615C65BA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296C667E">
      <w:start w:val="1"/>
      <w:numFmt w:val="lowerLetter"/>
      <w:lvlText w:val="%2."/>
      <w:lvlJc w:val="left"/>
      <w:pPr>
        <w:ind w:left="1080" w:hanging="360"/>
      </w:pPr>
    </w:lvl>
    <w:lvl w:ilvl="2" w:tplc="912A94F0">
      <w:start w:val="1"/>
      <w:numFmt w:val="lowerRoman"/>
      <w:lvlText w:val="%3."/>
      <w:lvlJc w:val="right"/>
      <w:pPr>
        <w:ind w:left="1800" w:hanging="180"/>
      </w:pPr>
    </w:lvl>
    <w:lvl w:ilvl="3" w:tplc="3B0E0BAA">
      <w:start w:val="1"/>
      <w:numFmt w:val="decimal"/>
      <w:lvlText w:val="%4."/>
      <w:lvlJc w:val="left"/>
      <w:pPr>
        <w:ind w:left="2520" w:hanging="360"/>
      </w:pPr>
    </w:lvl>
    <w:lvl w:ilvl="4" w:tplc="D6EA5CA8">
      <w:start w:val="1"/>
      <w:numFmt w:val="lowerLetter"/>
      <w:lvlText w:val="%5."/>
      <w:lvlJc w:val="left"/>
      <w:pPr>
        <w:ind w:left="3240" w:hanging="360"/>
      </w:pPr>
    </w:lvl>
    <w:lvl w:ilvl="5" w:tplc="06043710">
      <w:start w:val="1"/>
      <w:numFmt w:val="lowerRoman"/>
      <w:lvlText w:val="%6."/>
      <w:lvlJc w:val="right"/>
      <w:pPr>
        <w:ind w:left="3960" w:hanging="180"/>
      </w:pPr>
    </w:lvl>
    <w:lvl w:ilvl="6" w:tplc="F3209E06">
      <w:start w:val="1"/>
      <w:numFmt w:val="decimal"/>
      <w:lvlText w:val="%7."/>
      <w:lvlJc w:val="left"/>
      <w:pPr>
        <w:ind w:left="4680" w:hanging="360"/>
      </w:pPr>
    </w:lvl>
    <w:lvl w:ilvl="7" w:tplc="FDE01D1A">
      <w:start w:val="1"/>
      <w:numFmt w:val="lowerLetter"/>
      <w:lvlText w:val="%8."/>
      <w:lvlJc w:val="left"/>
      <w:pPr>
        <w:ind w:left="5400" w:hanging="360"/>
      </w:pPr>
    </w:lvl>
    <w:lvl w:ilvl="8" w:tplc="C504E844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D2B0C"/>
    <w:multiLevelType w:val="multilevel"/>
    <w:tmpl w:val="10FA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2" w15:restartNumberingAfterBreak="0">
    <w:nsid w:val="04BB3CA9"/>
    <w:multiLevelType w:val="multilevel"/>
    <w:tmpl w:val="8EC6B060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2A22C0"/>
    <w:multiLevelType w:val="hybridMultilevel"/>
    <w:tmpl w:val="B7E8CA74"/>
    <w:lvl w:ilvl="0" w:tplc="4AF030A0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D4903702">
      <w:start w:val="1"/>
      <w:numFmt w:val="lowerLetter"/>
      <w:lvlText w:val="%2."/>
      <w:lvlJc w:val="left"/>
      <w:pPr>
        <w:ind w:left="1800" w:hanging="360"/>
      </w:pPr>
    </w:lvl>
    <w:lvl w:ilvl="2" w:tplc="D94A8FB0">
      <w:start w:val="1"/>
      <w:numFmt w:val="lowerRoman"/>
      <w:lvlText w:val="%3."/>
      <w:lvlJc w:val="right"/>
      <w:pPr>
        <w:ind w:left="2520" w:hanging="180"/>
      </w:pPr>
    </w:lvl>
    <w:lvl w:ilvl="3" w:tplc="D908BB9E">
      <w:start w:val="1"/>
      <w:numFmt w:val="decimal"/>
      <w:lvlText w:val="%4."/>
      <w:lvlJc w:val="left"/>
      <w:pPr>
        <w:ind w:left="3240" w:hanging="360"/>
      </w:pPr>
    </w:lvl>
    <w:lvl w:ilvl="4" w:tplc="24AC3D96">
      <w:start w:val="1"/>
      <w:numFmt w:val="lowerLetter"/>
      <w:lvlText w:val="%5."/>
      <w:lvlJc w:val="left"/>
      <w:pPr>
        <w:ind w:left="3960" w:hanging="360"/>
      </w:pPr>
    </w:lvl>
    <w:lvl w:ilvl="5" w:tplc="2C94B72A">
      <w:start w:val="1"/>
      <w:numFmt w:val="lowerRoman"/>
      <w:lvlText w:val="%6."/>
      <w:lvlJc w:val="right"/>
      <w:pPr>
        <w:ind w:left="4680" w:hanging="180"/>
      </w:pPr>
    </w:lvl>
    <w:lvl w:ilvl="6" w:tplc="65FA9E60">
      <w:start w:val="1"/>
      <w:numFmt w:val="decimal"/>
      <w:lvlText w:val="%7."/>
      <w:lvlJc w:val="left"/>
      <w:pPr>
        <w:ind w:left="5400" w:hanging="360"/>
      </w:pPr>
    </w:lvl>
    <w:lvl w:ilvl="7" w:tplc="6CD834AE">
      <w:start w:val="1"/>
      <w:numFmt w:val="lowerLetter"/>
      <w:lvlText w:val="%8."/>
      <w:lvlJc w:val="left"/>
      <w:pPr>
        <w:ind w:left="6120" w:hanging="360"/>
      </w:pPr>
    </w:lvl>
    <w:lvl w:ilvl="8" w:tplc="4EF8CF4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130619"/>
    <w:multiLevelType w:val="hybridMultilevel"/>
    <w:tmpl w:val="1584ED6C"/>
    <w:lvl w:ilvl="0" w:tplc="F98AB0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12442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4ECA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F4B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644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861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1CD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B417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285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87C7A"/>
    <w:multiLevelType w:val="hybridMultilevel"/>
    <w:tmpl w:val="6F8A9CD2"/>
    <w:lvl w:ilvl="0" w:tplc="92728D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6FFC9B36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6A6287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947823F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26AF9B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4842C68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9001C4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677EAB5A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E80A03A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B813815"/>
    <w:multiLevelType w:val="multilevel"/>
    <w:tmpl w:val="EDDEDDC6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5B36051"/>
    <w:multiLevelType w:val="multilevel"/>
    <w:tmpl w:val="A3661DB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CD03BE9"/>
    <w:multiLevelType w:val="multilevel"/>
    <w:tmpl w:val="E85A699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DF05D7C"/>
    <w:multiLevelType w:val="hybridMultilevel"/>
    <w:tmpl w:val="2E8AE372"/>
    <w:lvl w:ilvl="0" w:tplc="35D23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0F4FCCC">
      <w:start w:val="1"/>
      <w:numFmt w:val="lowerLetter"/>
      <w:lvlText w:val="%2."/>
      <w:lvlJc w:val="left"/>
      <w:pPr>
        <w:ind w:left="1647" w:hanging="360"/>
      </w:pPr>
    </w:lvl>
    <w:lvl w:ilvl="2" w:tplc="B0D67272">
      <w:start w:val="1"/>
      <w:numFmt w:val="lowerRoman"/>
      <w:lvlText w:val="%3."/>
      <w:lvlJc w:val="right"/>
      <w:pPr>
        <w:ind w:left="2367" w:hanging="180"/>
      </w:pPr>
    </w:lvl>
    <w:lvl w:ilvl="3" w:tplc="16E0D742">
      <w:start w:val="1"/>
      <w:numFmt w:val="decimal"/>
      <w:lvlText w:val="%4."/>
      <w:lvlJc w:val="left"/>
      <w:pPr>
        <w:ind w:left="3087" w:hanging="360"/>
      </w:pPr>
    </w:lvl>
    <w:lvl w:ilvl="4" w:tplc="8094212A">
      <w:start w:val="1"/>
      <w:numFmt w:val="lowerLetter"/>
      <w:lvlText w:val="%5."/>
      <w:lvlJc w:val="left"/>
      <w:pPr>
        <w:ind w:left="3807" w:hanging="360"/>
      </w:pPr>
    </w:lvl>
    <w:lvl w:ilvl="5" w:tplc="D1FC5F46">
      <w:start w:val="1"/>
      <w:numFmt w:val="lowerRoman"/>
      <w:lvlText w:val="%6."/>
      <w:lvlJc w:val="right"/>
      <w:pPr>
        <w:ind w:left="4527" w:hanging="180"/>
      </w:pPr>
    </w:lvl>
    <w:lvl w:ilvl="6" w:tplc="5A9EF046">
      <w:start w:val="1"/>
      <w:numFmt w:val="decimal"/>
      <w:lvlText w:val="%7."/>
      <w:lvlJc w:val="left"/>
      <w:pPr>
        <w:ind w:left="5247" w:hanging="360"/>
      </w:pPr>
    </w:lvl>
    <w:lvl w:ilvl="7" w:tplc="5C3CF10E">
      <w:start w:val="1"/>
      <w:numFmt w:val="lowerLetter"/>
      <w:lvlText w:val="%8."/>
      <w:lvlJc w:val="left"/>
      <w:pPr>
        <w:ind w:left="5967" w:hanging="360"/>
      </w:pPr>
    </w:lvl>
    <w:lvl w:ilvl="8" w:tplc="3EC6A200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614EB2"/>
    <w:multiLevelType w:val="hybridMultilevel"/>
    <w:tmpl w:val="AFFCCD0C"/>
    <w:lvl w:ilvl="0" w:tplc="DE6C4F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82E2C4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F0B06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12E717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8E67E60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91894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BC29D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D58A5E0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BE05DF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5662D65"/>
    <w:multiLevelType w:val="hybridMultilevel"/>
    <w:tmpl w:val="4FEC6CDC"/>
    <w:lvl w:ilvl="0" w:tplc="8C2ACAB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5545E9C">
      <w:start w:val="1"/>
      <w:numFmt w:val="lowerLetter"/>
      <w:lvlText w:val="%2."/>
      <w:lvlJc w:val="left"/>
      <w:pPr>
        <w:ind w:left="1647" w:hanging="360"/>
      </w:pPr>
    </w:lvl>
    <w:lvl w:ilvl="2" w:tplc="E20CA05A">
      <w:start w:val="1"/>
      <w:numFmt w:val="lowerRoman"/>
      <w:lvlText w:val="%3."/>
      <w:lvlJc w:val="right"/>
      <w:pPr>
        <w:ind w:left="2367" w:hanging="180"/>
      </w:pPr>
    </w:lvl>
    <w:lvl w:ilvl="3" w:tplc="2322430E">
      <w:start w:val="1"/>
      <w:numFmt w:val="decimal"/>
      <w:lvlText w:val="%4."/>
      <w:lvlJc w:val="left"/>
      <w:pPr>
        <w:ind w:left="3087" w:hanging="360"/>
      </w:pPr>
    </w:lvl>
    <w:lvl w:ilvl="4" w:tplc="D1B2459A">
      <w:start w:val="1"/>
      <w:numFmt w:val="lowerLetter"/>
      <w:lvlText w:val="%5."/>
      <w:lvlJc w:val="left"/>
      <w:pPr>
        <w:ind w:left="3807" w:hanging="360"/>
      </w:pPr>
    </w:lvl>
    <w:lvl w:ilvl="5" w:tplc="79483806">
      <w:start w:val="1"/>
      <w:numFmt w:val="lowerRoman"/>
      <w:lvlText w:val="%6."/>
      <w:lvlJc w:val="right"/>
      <w:pPr>
        <w:ind w:left="4527" w:hanging="180"/>
      </w:pPr>
    </w:lvl>
    <w:lvl w:ilvl="6" w:tplc="AE822664">
      <w:start w:val="1"/>
      <w:numFmt w:val="decimal"/>
      <w:lvlText w:val="%7."/>
      <w:lvlJc w:val="left"/>
      <w:pPr>
        <w:ind w:left="5247" w:hanging="360"/>
      </w:pPr>
    </w:lvl>
    <w:lvl w:ilvl="7" w:tplc="1B5E39C2">
      <w:start w:val="1"/>
      <w:numFmt w:val="lowerLetter"/>
      <w:lvlText w:val="%8."/>
      <w:lvlJc w:val="left"/>
      <w:pPr>
        <w:ind w:left="5967" w:hanging="360"/>
      </w:pPr>
    </w:lvl>
    <w:lvl w:ilvl="8" w:tplc="1FB235C6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6DB15A3"/>
    <w:multiLevelType w:val="hybridMultilevel"/>
    <w:tmpl w:val="782EFF92"/>
    <w:lvl w:ilvl="0" w:tplc="3BC41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BD297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4B3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220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B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507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E85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C87B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5C8B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8197E"/>
    <w:multiLevelType w:val="hybridMultilevel"/>
    <w:tmpl w:val="73CA8AFA"/>
    <w:lvl w:ilvl="0" w:tplc="0652D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88EFDD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86583E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6744E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A62F17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555E84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B8CD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534CE66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C02BED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86245F"/>
    <w:multiLevelType w:val="hybridMultilevel"/>
    <w:tmpl w:val="1F50A5D2"/>
    <w:lvl w:ilvl="0" w:tplc="E9BA10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7B0226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8C4192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49860C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02EBC3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F06AC7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198C8D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28C21F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15298F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AE47C70"/>
    <w:multiLevelType w:val="hybridMultilevel"/>
    <w:tmpl w:val="2C24BD3E"/>
    <w:lvl w:ilvl="0" w:tplc="A1AA9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0580EE0">
      <w:start w:val="1"/>
      <w:numFmt w:val="lowerLetter"/>
      <w:lvlText w:val="%2."/>
      <w:lvlJc w:val="left"/>
      <w:pPr>
        <w:ind w:left="1440" w:hanging="360"/>
      </w:pPr>
    </w:lvl>
    <w:lvl w:ilvl="2" w:tplc="E3467E6E">
      <w:start w:val="1"/>
      <w:numFmt w:val="lowerRoman"/>
      <w:lvlText w:val="%3."/>
      <w:lvlJc w:val="right"/>
      <w:pPr>
        <w:ind w:left="2160" w:hanging="180"/>
      </w:pPr>
    </w:lvl>
    <w:lvl w:ilvl="3" w:tplc="AAD890A6">
      <w:start w:val="1"/>
      <w:numFmt w:val="decimal"/>
      <w:lvlText w:val="%4."/>
      <w:lvlJc w:val="left"/>
      <w:pPr>
        <w:ind w:left="2880" w:hanging="360"/>
      </w:pPr>
    </w:lvl>
    <w:lvl w:ilvl="4" w:tplc="936AED02">
      <w:start w:val="1"/>
      <w:numFmt w:val="lowerLetter"/>
      <w:lvlText w:val="%5."/>
      <w:lvlJc w:val="left"/>
      <w:pPr>
        <w:ind w:left="3600" w:hanging="360"/>
      </w:pPr>
    </w:lvl>
    <w:lvl w:ilvl="5" w:tplc="1DB27B6A">
      <w:start w:val="1"/>
      <w:numFmt w:val="lowerRoman"/>
      <w:lvlText w:val="%6."/>
      <w:lvlJc w:val="right"/>
      <w:pPr>
        <w:ind w:left="4320" w:hanging="180"/>
      </w:pPr>
    </w:lvl>
    <w:lvl w:ilvl="6" w:tplc="044ADA3C">
      <w:start w:val="1"/>
      <w:numFmt w:val="decimal"/>
      <w:lvlText w:val="%7."/>
      <w:lvlJc w:val="left"/>
      <w:pPr>
        <w:ind w:left="5040" w:hanging="360"/>
      </w:pPr>
    </w:lvl>
    <w:lvl w:ilvl="7" w:tplc="BB5E9CEE">
      <w:start w:val="1"/>
      <w:numFmt w:val="lowerLetter"/>
      <w:lvlText w:val="%8."/>
      <w:lvlJc w:val="left"/>
      <w:pPr>
        <w:ind w:left="5760" w:hanging="360"/>
      </w:pPr>
    </w:lvl>
    <w:lvl w:ilvl="8" w:tplc="C57832F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80270"/>
    <w:multiLevelType w:val="hybridMultilevel"/>
    <w:tmpl w:val="88361B72"/>
    <w:lvl w:ilvl="0" w:tplc="486CE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B5EE576">
      <w:start w:val="1"/>
      <w:numFmt w:val="lowerLetter"/>
      <w:lvlText w:val="%2."/>
      <w:lvlJc w:val="left"/>
      <w:pPr>
        <w:ind w:left="1647" w:hanging="360"/>
      </w:pPr>
    </w:lvl>
    <w:lvl w:ilvl="2" w:tplc="98BAA37C">
      <w:start w:val="1"/>
      <w:numFmt w:val="lowerRoman"/>
      <w:lvlText w:val="%3."/>
      <w:lvlJc w:val="right"/>
      <w:pPr>
        <w:ind w:left="2367" w:hanging="180"/>
      </w:pPr>
    </w:lvl>
    <w:lvl w:ilvl="3" w:tplc="67C08CCC">
      <w:start w:val="1"/>
      <w:numFmt w:val="decimal"/>
      <w:lvlText w:val="%4."/>
      <w:lvlJc w:val="left"/>
      <w:pPr>
        <w:ind w:left="3087" w:hanging="360"/>
      </w:pPr>
    </w:lvl>
    <w:lvl w:ilvl="4" w:tplc="091A81D6">
      <w:start w:val="1"/>
      <w:numFmt w:val="lowerLetter"/>
      <w:lvlText w:val="%5."/>
      <w:lvlJc w:val="left"/>
      <w:pPr>
        <w:ind w:left="3807" w:hanging="360"/>
      </w:pPr>
    </w:lvl>
    <w:lvl w:ilvl="5" w:tplc="839EC858">
      <w:start w:val="1"/>
      <w:numFmt w:val="lowerRoman"/>
      <w:lvlText w:val="%6."/>
      <w:lvlJc w:val="right"/>
      <w:pPr>
        <w:ind w:left="4527" w:hanging="180"/>
      </w:pPr>
    </w:lvl>
    <w:lvl w:ilvl="6" w:tplc="7C58C3C0">
      <w:start w:val="1"/>
      <w:numFmt w:val="decimal"/>
      <w:lvlText w:val="%7."/>
      <w:lvlJc w:val="left"/>
      <w:pPr>
        <w:ind w:left="5247" w:hanging="360"/>
      </w:pPr>
    </w:lvl>
    <w:lvl w:ilvl="7" w:tplc="574C761A">
      <w:start w:val="1"/>
      <w:numFmt w:val="lowerLetter"/>
      <w:lvlText w:val="%8."/>
      <w:lvlJc w:val="left"/>
      <w:pPr>
        <w:ind w:left="5967" w:hanging="360"/>
      </w:pPr>
    </w:lvl>
    <w:lvl w:ilvl="8" w:tplc="1D78DF0C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12F5DAE"/>
    <w:multiLevelType w:val="hybridMultilevel"/>
    <w:tmpl w:val="471A0382"/>
    <w:lvl w:ilvl="0" w:tplc="0B90FF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462135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7D018E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DE670C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792522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2C2D16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050034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9E812E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B221BB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14"/>
  </w:num>
  <w:num w:numId="7">
    <w:abstractNumId w:val="1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3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5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998"/>
    <w:rsid w:val="00081A49"/>
    <w:rsid w:val="002F0B34"/>
    <w:rsid w:val="004B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0ACEB-573A-4D3F-AAAA-86DF89003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table" w:styleId="af2">
    <w:name w:val="Table Grid"/>
    <w:basedOn w:val="a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hAnsi="Times New Roman"/>
      <w:sz w:val="28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f7">
    <w:name w:val="Цветовое выделение"/>
    <w:rPr>
      <w:b/>
      <w:bCs/>
      <w:color w:val="000080"/>
    </w:rPr>
  </w:style>
  <w:style w:type="character" w:customStyle="1" w:styleId="af8">
    <w:name w:val="Гипертекстовая ссылка"/>
    <w:uiPriority w:val="99"/>
    <w:rPr>
      <w:b/>
      <w:bCs/>
      <w:color w:val="008000"/>
    </w:rPr>
  </w:style>
  <w:style w:type="character" w:customStyle="1" w:styleId="af9">
    <w:name w:val="Активная гипертекстовая ссылка"/>
    <w:rPr>
      <w:b/>
      <w:bCs/>
      <w:color w:val="008000"/>
      <w:u w:val="single"/>
    </w:rPr>
  </w:style>
  <w:style w:type="paragraph" w:customStyle="1" w:styleId="afa">
    <w:name w:val="Основное меню (преемственное)"/>
    <w:basedOn w:val="a"/>
    <w:next w:val="a"/>
    <w:pPr>
      <w:widowControl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fb">
    <w:name w:val="Title"/>
    <w:basedOn w:val="afa"/>
    <w:next w:val="a"/>
    <w:link w:val="afc"/>
    <w:rPr>
      <w:rFonts w:ascii="Arial" w:hAnsi="Arial" w:cs="Arial"/>
      <w:b/>
      <w:bCs/>
      <w:color w:val="C0C0C0"/>
    </w:rPr>
  </w:style>
  <w:style w:type="character" w:customStyle="1" w:styleId="afc">
    <w:name w:val="Заголовок Знак"/>
    <w:basedOn w:val="a0"/>
    <w:link w:val="afb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fd">
    <w:name w:val="Заголовок своего сообщения"/>
    <w:basedOn w:val="af7"/>
    <w:rPr>
      <w:b/>
      <w:bCs/>
      <w:color w:val="000080"/>
    </w:rPr>
  </w:style>
  <w:style w:type="paragraph" w:customStyle="1" w:styleId="afe">
    <w:name w:val="Заголовок статьи"/>
    <w:basedOn w:val="a"/>
    <w:next w:val="a"/>
    <w:pPr>
      <w:widowControl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">
    <w:name w:val="Заголовок чужого сообщения"/>
    <w:rPr>
      <w:b/>
      <w:bCs/>
      <w:color w:val="FF0000"/>
    </w:rPr>
  </w:style>
  <w:style w:type="paragraph" w:customStyle="1" w:styleId="aff0">
    <w:name w:val="Интерактивный заголовок"/>
    <w:basedOn w:val="afb"/>
    <w:next w:val="a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pPr>
      <w:widowControl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f2">
    <w:name w:val="Комментарий"/>
    <w:basedOn w:val="a"/>
    <w:next w:val="a"/>
    <w:pPr>
      <w:widowControl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f3">
    <w:name w:val="Информация об изменениях документа"/>
    <w:basedOn w:val="aff2"/>
    <w:next w:val="a"/>
    <w:pPr>
      <w:ind w:left="0"/>
    </w:pPr>
  </w:style>
  <w:style w:type="paragraph" w:customStyle="1" w:styleId="aff4">
    <w:name w:val="Текст (лев. подпись)"/>
    <w:basedOn w:val="a"/>
    <w:next w:val="a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5">
    <w:name w:val="Колонтитул (левый)"/>
    <w:basedOn w:val="aff4"/>
    <w:next w:val="a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pPr>
      <w:widowControl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Колонтитул (правый)"/>
    <w:basedOn w:val="aff6"/>
    <w:next w:val="a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Моноширинный"/>
    <w:basedOn w:val="a"/>
    <w:next w:val="a"/>
    <w:pPr>
      <w:widowControl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a">
    <w:name w:val="Найденные слова"/>
    <w:basedOn w:val="af7"/>
    <w:rPr>
      <w:b/>
      <w:bCs/>
      <w:color w:val="000080"/>
    </w:rPr>
  </w:style>
  <w:style w:type="character" w:customStyle="1" w:styleId="affb">
    <w:name w:val="Не вступил в силу"/>
    <w:rPr>
      <w:b/>
      <w:bCs/>
      <w:color w:val="008080"/>
    </w:rPr>
  </w:style>
  <w:style w:type="paragraph" w:customStyle="1" w:styleId="affc">
    <w:name w:val="Нормальный (таблица)"/>
    <w:basedOn w:val="a"/>
    <w:next w:val="a"/>
    <w:uiPriority w:val="99"/>
    <w:pPr>
      <w:widowControl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Объект"/>
    <w:basedOn w:val="a"/>
    <w:next w:val="a"/>
    <w:pPr>
      <w:widowControl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Таблицы (моноширинный)"/>
    <w:basedOn w:val="a"/>
    <w:next w:val="a"/>
    <w:pPr>
      <w:widowControl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">
    <w:name w:val="Оглавление"/>
    <w:basedOn w:val="affe"/>
    <w:next w:val="a"/>
    <w:pPr>
      <w:ind w:left="140"/>
    </w:pPr>
    <w:rPr>
      <w:rFonts w:ascii="Arial" w:hAnsi="Arial" w:cs="Arial"/>
    </w:rPr>
  </w:style>
  <w:style w:type="character" w:customStyle="1" w:styleId="afff0">
    <w:name w:val="Опечатки"/>
    <w:rPr>
      <w:color w:val="FF0000"/>
    </w:rPr>
  </w:style>
  <w:style w:type="paragraph" w:customStyle="1" w:styleId="afff1">
    <w:name w:val="Переменная часть"/>
    <w:basedOn w:val="afa"/>
    <w:next w:val="a"/>
    <w:rPr>
      <w:rFonts w:ascii="Arial" w:hAnsi="Arial" w:cs="Arial"/>
      <w:sz w:val="20"/>
      <w:szCs w:val="20"/>
    </w:rPr>
  </w:style>
  <w:style w:type="paragraph" w:customStyle="1" w:styleId="afff2">
    <w:name w:val="Постоянная часть"/>
    <w:basedOn w:val="afa"/>
    <w:next w:val="a"/>
    <w:rPr>
      <w:rFonts w:ascii="Arial" w:hAnsi="Arial" w:cs="Arial"/>
      <w:sz w:val="22"/>
      <w:szCs w:val="22"/>
    </w:rPr>
  </w:style>
  <w:style w:type="paragraph" w:customStyle="1" w:styleId="afff3">
    <w:name w:val="Прижатый влево"/>
    <w:basedOn w:val="a"/>
    <w:next w:val="a"/>
    <w:uiPriority w:val="99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Продолжение ссылки"/>
    <w:basedOn w:val="af8"/>
    <w:rPr>
      <w:b/>
      <w:bCs/>
      <w:color w:val="008000"/>
    </w:rPr>
  </w:style>
  <w:style w:type="paragraph" w:customStyle="1" w:styleId="afff5">
    <w:name w:val="Словарная статья"/>
    <w:basedOn w:val="a"/>
    <w:next w:val="a"/>
    <w:pPr>
      <w:widowControl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Сравнение редакций"/>
    <w:basedOn w:val="af7"/>
    <w:rPr>
      <w:b/>
      <w:bCs/>
      <w:color w:val="000080"/>
    </w:rPr>
  </w:style>
  <w:style w:type="character" w:customStyle="1" w:styleId="afff7">
    <w:name w:val="Сравнение редакций. Добавленный фрагмент"/>
    <w:rPr>
      <w:color w:val="0000FF"/>
    </w:rPr>
  </w:style>
  <w:style w:type="character" w:customStyle="1" w:styleId="afff8">
    <w:name w:val="Сравнение редакций. Удаленный фрагмент"/>
    <w:rPr>
      <w:strike/>
      <w:color w:val="808000"/>
    </w:rPr>
  </w:style>
  <w:style w:type="paragraph" w:customStyle="1" w:styleId="afff9">
    <w:name w:val="Текст (справка)"/>
    <w:basedOn w:val="a"/>
    <w:next w:val="a"/>
    <w:pPr>
      <w:widowControl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Текст в таблице"/>
    <w:basedOn w:val="affc"/>
    <w:next w:val="a"/>
    <w:pPr>
      <w:ind w:firstLine="500"/>
    </w:pPr>
  </w:style>
  <w:style w:type="paragraph" w:customStyle="1" w:styleId="afffb">
    <w:name w:val="Технический комментарий"/>
    <w:basedOn w:val="a"/>
    <w:next w:val="a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c">
    <w:name w:val="Утратил силу"/>
    <w:rPr>
      <w:b/>
      <w:bCs/>
      <w:strike/>
      <w:color w:val="808000"/>
    </w:rPr>
  </w:style>
  <w:style w:type="paragraph" w:customStyle="1" w:styleId="afffd">
    <w:name w:val="Центрированный (таблица)"/>
    <w:basedOn w:val="affc"/>
    <w:next w:val="a"/>
    <w:pPr>
      <w:jc w:val="center"/>
    </w:pPr>
  </w:style>
  <w:style w:type="paragraph" w:customStyle="1" w:styleId="afffe">
    <w:name w:val="Знак"/>
    <w:basedOn w:val="a"/>
    <w:rPr>
      <w:rFonts w:ascii="Verdana" w:eastAsia="Times New Roman" w:hAnsi="Verdana" w:cs="Verdana"/>
      <w:sz w:val="20"/>
      <w:szCs w:val="20"/>
      <w:lang w:val="en-US"/>
    </w:rPr>
  </w:style>
  <w:style w:type="table" w:customStyle="1" w:styleId="14">
    <w:name w:val="Сетка таблицы1"/>
    <w:basedOn w:val="a1"/>
    <w:next w:val="af2"/>
    <w:uiPriority w:val="59"/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">
    <w:name w:val="Body Text"/>
    <w:basedOn w:val="a"/>
    <w:link w:val="affff0"/>
    <w:rPr>
      <w:rFonts w:ascii="Arial" w:eastAsia="Times New Roman" w:hAnsi="Arial" w:cs="Times New Roman"/>
      <w:sz w:val="24"/>
      <w:szCs w:val="24"/>
    </w:rPr>
  </w:style>
  <w:style w:type="character" w:customStyle="1" w:styleId="affff0">
    <w:name w:val="Основной текст Знак"/>
    <w:basedOn w:val="a0"/>
    <w:link w:val="affff"/>
    <w:rPr>
      <w:rFonts w:ascii="Arial" w:eastAsia="Times New Roman" w:hAnsi="Arial" w:cs="Times New Roman"/>
      <w:sz w:val="24"/>
      <w:szCs w:val="24"/>
    </w:rPr>
  </w:style>
  <w:style w:type="paragraph" w:customStyle="1" w:styleId="15">
    <w:name w:val="Знак1"/>
    <w:basedOn w:val="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5">
    <w:name w:val="Знак2"/>
    <w:basedOn w:val="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1">
    <w:name w:val="Знак Знак Знак Знак Знак Знак Знак Знак Знак"/>
    <w:basedOn w:val="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Знак Знак Знак Знак Знак Знак Знак Знак Знак1"/>
    <w:basedOn w:val="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2">
    <w:name w:val="Знак Знак Знак Знак Знак Знак"/>
    <w:basedOn w:val="a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pPr>
      <w:widowControl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6">
    <w:name w:val="Знак Знак Знак Знак Знак Знак Знак Знак Знак2"/>
    <w:basedOn w:val="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3">
    <w:name w:val="Знак Знак Знак Знак Знак Знак Знак Знак Знак3"/>
    <w:basedOn w:val="a"/>
    <w:rPr>
      <w:rFonts w:ascii="Verdana" w:eastAsia="Times New Roman" w:hAnsi="Verdana" w:cs="Verdana"/>
      <w:sz w:val="20"/>
      <w:szCs w:val="20"/>
      <w:lang w:val="en-US"/>
    </w:rPr>
  </w:style>
  <w:style w:type="character" w:styleId="affff3">
    <w:name w:val="Hyperlink"/>
    <w:rPr>
      <w:color w:val="0000FF"/>
      <w:u w:val="single"/>
    </w:rPr>
  </w:style>
  <w:style w:type="character" w:styleId="affff4">
    <w:name w:val="FollowedHyperlink"/>
    <w:rPr>
      <w:color w:val="800080"/>
      <w:u w:val="single"/>
    </w:rPr>
  </w:style>
  <w:style w:type="paragraph" w:customStyle="1" w:styleId="43">
    <w:name w:val="Знак Знак Знак Знак Знак Знак Знак Знак Знак4"/>
    <w:basedOn w:val="a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5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6">
    <w:name w:val="Balloon Text"/>
    <w:basedOn w:val="a"/>
    <w:link w:val="affff7"/>
    <w:semiHidden/>
    <w:pPr>
      <w:widowControl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7">
    <w:name w:val="Текст выноски Знак"/>
    <w:basedOn w:val="a0"/>
    <w:link w:val="affff6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ConsPlusNormal">
    <w:name w:val="ConsPlusNormal"/>
    <w:pPr>
      <w:widowControl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Pr>
      <w:rFonts w:ascii="Times New Roman" w:hAnsi="Times New Roman"/>
      <w:sz w:val="18"/>
    </w:rPr>
  </w:style>
  <w:style w:type="paragraph" w:styleId="affff8">
    <w:name w:val="List Paragraph"/>
    <w:basedOn w:val="a"/>
    <w:uiPriority w:val="34"/>
    <w:qFormat/>
    <w:pPr>
      <w:widowControl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f9">
    <w:name w:val="annotation reference"/>
    <w:rPr>
      <w:sz w:val="16"/>
      <w:szCs w:val="16"/>
    </w:rPr>
  </w:style>
  <w:style w:type="paragraph" w:styleId="affffa">
    <w:name w:val="annotation text"/>
    <w:basedOn w:val="a"/>
    <w:link w:val="affffb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b">
    <w:name w:val="Текст примечания Знак"/>
    <w:basedOn w:val="a0"/>
    <w:link w:val="affffa"/>
    <w:rPr>
      <w:rFonts w:ascii="Arial" w:eastAsia="Times New Roman" w:hAnsi="Arial" w:cs="Arial"/>
      <w:sz w:val="20"/>
      <w:szCs w:val="20"/>
      <w:lang w:eastAsia="ru-RU"/>
    </w:rPr>
  </w:style>
  <w:style w:type="paragraph" w:styleId="affffc">
    <w:name w:val="annotation subject"/>
    <w:basedOn w:val="affffa"/>
    <w:next w:val="affffa"/>
    <w:link w:val="affffd"/>
    <w:rPr>
      <w:b/>
      <w:bCs/>
    </w:rPr>
  </w:style>
  <w:style w:type="character" w:customStyle="1" w:styleId="affffd">
    <w:name w:val="Тема примечания Знак"/>
    <w:basedOn w:val="affffb"/>
    <w:link w:val="affffc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7">
    <w:name w:val="Нет списка2"/>
    <w:next w:val="a2"/>
    <w:semiHidden/>
  </w:style>
  <w:style w:type="table" w:customStyle="1" w:styleId="28">
    <w:name w:val="Сетка таблицы2"/>
    <w:basedOn w:val="a1"/>
    <w:next w:val="af2"/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9">
    <w:name w:val="Абзац списка2"/>
    <w:basedOn w:val="a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</w:style>
  <w:style w:type="table" w:customStyle="1" w:styleId="111">
    <w:name w:val="Сетка таблицы11"/>
    <w:basedOn w:val="a1"/>
    <w:next w:val="af2"/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3</cp:revision>
  <dcterms:created xsi:type="dcterms:W3CDTF">2026-03-30T11:17:00Z</dcterms:created>
  <dcterms:modified xsi:type="dcterms:W3CDTF">2026-03-30T11:18:00Z</dcterms:modified>
</cp:coreProperties>
</file>